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306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100"/>
        <w:gridCol w:w="1011"/>
        <w:gridCol w:w="3172"/>
        <w:gridCol w:w="1674"/>
        <w:gridCol w:w="1134"/>
        <w:gridCol w:w="6"/>
      </w:tblGrid>
      <w:tr w:rsidR="00F30C6B" w14:paraId="78C918D4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4CE11C69" w14:textId="0C853387" w:rsidR="00F30C6B" w:rsidRPr="006952BE" w:rsidRDefault="00F30C6B" w:rsidP="00F30C6B">
            <w:pPr>
              <w:jc w:val="center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Άρθρο:</w:t>
            </w:r>
          </w:p>
        </w:tc>
        <w:sdt>
          <w:sdtPr>
            <w:rPr>
              <w:sz w:val="28"/>
              <w:szCs w:val="28"/>
              <w:lang w:val="el-GR"/>
            </w:rPr>
            <w:id w:val="-1108892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0" w:type="dxa"/>
                <w:vAlign w:val="center"/>
              </w:tcPr>
              <w:p w14:paraId="730BC115" w14:textId="5C17C949" w:rsidR="00F30C6B" w:rsidRDefault="000B3F8D" w:rsidP="00F30C6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☒</w:t>
                </w:r>
              </w:p>
            </w:tc>
          </w:sdtContent>
        </w:sdt>
        <w:tc>
          <w:tcPr>
            <w:tcW w:w="1011" w:type="dxa"/>
            <w:shd w:val="clear" w:color="auto" w:fill="FFF2CC" w:themeFill="accent4" w:themeFillTint="33"/>
            <w:vAlign w:val="center"/>
          </w:tcPr>
          <w:p w14:paraId="24FB33C6" w14:textId="4A294B39" w:rsidR="00F30C6B" w:rsidRPr="006952BE" w:rsidRDefault="00F30C6B" w:rsidP="00F30C6B">
            <w:pPr>
              <w:jc w:val="center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Μελέτη:</w:t>
            </w:r>
          </w:p>
        </w:tc>
        <w:sdt>
          <w:sdtPr>
            <w:rPr>
              <w:sz w:val="28"/>
              <w:szCs w:val="28"/>
              <w:lang w:val="el-GR"/>
            </w:rPr>
            <w:id w:val="-79590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2" w:type="dxa"/>
                <w:vAlign w:val="center"/>
              </w:tcPr>
              <w:p w14:paraId="53FDF132" w14:textId="53702431" w:rsidR="00F30C6B" w:rsidRDefault="000B3F8D" w:rsidP="00F30C6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674" w:type="dxa"/>
            <w:shd w:val="clear" w:color="auto" w:fill="FFF2CC" w:themeFill="accent4" w:themeFillTint="33"/>
            <w:vAlign w:val="center"/>
          </w:tcPr>
          <w:p w14:paraId="501AE2D4" w14:textId="6B101641" w:rsidR="00F30C6B" w:rsidRPr="006952BE" w:rsidRDefault="00F30C6B" w:rsidP="00F30C6B">
            <w:pPr>
              <w:jc w:val="center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Θεσμικό/Κανονιστικό Πλαίσιο:</w:t>
            </w:r>
          </w:p>
        </w:tc>
        <w:sdt>
          <w:sdtPr>
            <w:rPr>
              <w:sz w:val="28"/>
              <w:szCs w:val="28"/>
              <w:lang w:val="el-GR"/>
            </w:rPr>
            <w:id w:val="46300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327CCCC9" w14:textId="697747BB" w:rsidR="00F30C6B" w:rsidRDefault="00F30C6B" w:rsidP="00F30C6B">
                <w:pPr>
                  <w:jc w:val="center"/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</w:tr>
      <w:tr w:rsidR="00F30C6B" w:rsidRPr="00B575B5" w14:paraId="3ACA412D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 w:val="restart"/>
            <w:shd w:val="clear" w:color="auto" w:fill="FFF2CC" w:themeFill="accent4" w:themeFillTint="33"/>
            <w:vAlign w:val="center"/>
          </w:tcPr>
          <w:p w14:paraId="55CA66BD" w14:textId="1932381E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Θεματική </w:t>
            </w:r>
            <w:r w:rsidRPr="006952BE">
              <w:rPr>
                <w:b/>
                <w:bCs/>
                <w:lang w:val="el-GR"/>
              </w:rPr>
              <w:t>Κατηγορία:</w:t>
            </w:r>
          </w:p>
        </w:tc>
        <w:tc>
          <w:tcPr>
            <w:tcW w:w="3100" w:type="dxa"/>
            <w:vAlign w:val="center"/>
          </w:tcPr>
          <w:p w14:paraId="50D445E3" w14:textId="40965DA9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Κοινωνική Καινοτομία: θεωρία και πράξη</w:t>
            </w:r>
          </w:p>
        </w:tc>
        <w:sdt>
          <w:sdtPr>
            <w:rPr>
              <w:sz w:val="28"/>
              <w:szCs w:val="28"/>
              <w:lang w:val="el-GR"/>
            </w:rPr>
            <w:id w:val="204486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A89FE83" w14:textId="556809DC" w:rsidR="00F30C6B" w:rsidRPr="008E41E3" w:rsidRDefault="000B3F8D" w:rsidP="00F30C6B">
                <w:pPr>
                  <w:jc w:val="center"/>
                  <w:rPr>
                    <w:sz w:val="28"/>
                    <w:szCs w:val="28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1AF5DAC2" w14:textId="5BC7265D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Αστεγί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</w:t>
            </w:r>
          </w:p>
        </w:tc>
        <w:sdt>
          <w:sdtPr>
            <w:rPr>
              <w:sz w:val="28"/>
              <w:szCs w:val="28"/>
              <w:lang w:val="el-GR"/>
            </w:rPr>
            <w:id w:val="181869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64D5FEFE" w14:textId="5DE6A01B" w:rsidR="00F30C6B" w:rsidRPr="00B575B5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0A45129" w14:textId="77777777" w:rsidR="00F30C6B" w:rsidRPr="00B575B5" w:rsidRDefault="00F30C6B" w:rsidP="00F30C6B">
            <w:pPr>
              <w:rPr>
                <w:lang w:val="el-GR"/>
              </w:rPr>
            </w:pPr>
          </w:p>
        </w:tc>
      </w:tr>
      <w:tr w:rsidR="00F30C6B" w:rsidRPr="00B575B5" w14:paraId="41EEDAB6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7C33266C" w14:textId="77777777" w:rsidR="00F30C6B" w:rsidRPr="00B575B5" w:rsidRDefault="00F30C6B" w:rsidP="00F30C6B">
            <w:pPr>
              <w:rPr>
                <w:lang w:val="el-GR"/>
              </w:rPr>
            </w:pPr>
          </w:p>
        </w:tc>
        <w:tc>
          <w:tcPr>
            <w:tcW w:w="3100" w:type="dxa"/>
            <w:vAlign w:val="center"/>
          </w:tcPr>
          <w:p w14:paraId="5156090D" w14:textId="1B073CA2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Κοινωνική Καινοτομία: Η Ευρωπαϊκή διάσταση και Εμπειρία</w:t>
            </w:r>
          </w:p>
        </w:tc>
        <w:sdt>
          <w:sdtPr>
            <w:rPr>
              <w:sz w:val="28"/>
              <w:szCs w:val="28"/>
              <w:lang w:val="el-GR"/>
            </w:rPr>
            <w:id w:val="-1392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6CA60F76" w14:textId="70DFBEE5" w:rsidR="00F30C6B" w:rsidRPr="00B575B5" w:rsidRDefault="0063408A" w:rsidP="00F30C6B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39AC169B" w14:textId="73BD7BF3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Πα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ιδική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Φτώχει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</w:t>
            </w:r>
          </w:p>
        </w:tc>
        <w:sdt>
          <w:sdtPr>
            <w:rPr>
              <w:sz w:val="28"/>
              <w:szCs w:val="28"/>
              <w:lang w:val="el-GR"/>
            </w:rPr>
            <w:id w:val="-41617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19EC1226" w14:textId="3F9CBD7F" w:rsidR="00F30C6B" w:rsidRPr="00B575B5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0810D7B" w14:textId="77777777" w:rsidR="00F30C6B" w:rsidRPr="00B575B5" w:rsidRDefault="00F30C6B" w:rsidP="00F30C6B">
            <w:pPr>
              <w:rPr>
                <w:lang w:val="el-GR"/>
              </w:rPr>
            </w:pPr>
          </w:p>
        </w:tc>
      </w:tr>
      <w:tr w:rsidR="00F30C6B" w:rsidRPr="00A20470" w14:paraId="64EA56C2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27C4C770" w14:textId="77777777" w:rsidR="00F30C6B" w:rsidRPr="00B575B5" w:rsidRDefault="00F30C6B" w:rsidP="00F30C6B">
            <w:pPr>
              <w:rPr>
                <w:lang w:val="el-GR"/>
              </w:rPr>
            </w:pPr>
          </w:p>
        </w:tc>
        <w:tc>
          <w:tcPr>
            <w:tcW w:w="3100" w:type="dxa"/>
            <w:vAlign w:val="center"/>
          </w:tcPr>
          <w:p w14:paraId="4323DF4A" w14:textId="4C523C59" w:rsidR="00F30C6B" w:rsidRPr="002B714F" w:rsidRDefault="00F30C6B" w:rsidP="00F30C6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Ολοκληρωμένες</w:t>
            </w: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Κοινωνικές</w:t>
            </w: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Υπηρεσίες</w:t>
            </w: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 (Integrated social services delivery)</w:t>
            </w:r>
          </w:p>
        </w:tc>
        <w:sdt>
          <w:sdtPr>
            <w:rPr>
              <w:sz w:val="28"/>
              <w:szCs w:val="28"/>
              <w:lang w:val="el-GR"/>
            </w:rPr>
            <w:id w:val="8700330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239FE49" w14:textId="3304B5B4" w:rsidR="00F30C6B" w:rsidRPr="00A20470" w:rsidRDefault="0063408A" w:rsidP="00F30C6B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☒</w:t>
                </w:r>
              </w:p>
            </w:tc>
          </w:sdtContent>
        </w:sdt>
        <w:tc>
          <w:tcPr>
            <w:tcW w:w="3172" w:type="dxa"/>
            <w:vAlign w:val="center"/>
          </w:tcPr>
          <w:p w14:paraId="15DD1FA6" w14:textId="1944A3C7" w:rsidR="00F30C6B" w:rsidRPr="002B714F" w:rsidRDefault="00F30C6B" w:rsidP="00F30C6B">
            <w:pPr>
              <w:jc w:val="center"/>
              <w:rPr>
                <w:sz w:val="20"/>
                <w:szCs w:val="20"/>
              </w:rPr>
            </w:pP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Ενεργει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ακή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Φτώχει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</w:t>
            </w:r>
          </w:p>
        </w:tc>
        <w:sdt>
          <w:sdtPr>
            <w:rPr>
              <w:sz w:val="28"/>
              <w:szCs w:val="28"/>
              <w:lang w:val="el-GR"/>
            </w:rPr>
            <w:id w:val="-1637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5F13D0B6" w14:textId="6F0DB776" w:rsidR="00F30C6B" w:rsidRPr="00A20470" w:rsidRDefault="00F30C6B" w:rsidP="00F30C6B">
                <w:pPr>
                  <w:jc w:val="center"/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63AB2CE" w14:textId="77777777" w:rsidR="00F30C6B" w:rsidRPr="00A20470" w:rsidRDefault="00F30C6B" w:rsidP="00F30C6B"/>
        </w:tc>
      </w:tr>
      <w:tr w:rsidR="00F30C6B" w:rsidRPr="00A20470" w14:paraId="5F28831B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626141F9" w14:textId="77777777" w:rsidR="00F30C6B" w:rsidRPr="00A20470" w:rsidRDefault="00F30C6B" w:rsidP="00F30C6B"/>
        </w:tc>
        <w:tc>
          <w:tcPr>
            <w:tcW w:w="3100" w:type="dxa"/>
            <w:vAlign w:val="center"/>
          </w:tcPr>
          <w:p w14:paraId="482CD11D" w14:textId="2F59897F" w:rsidR="00F30C6B" w:rsidRPr="002B714F" w:rsidRDefault="00F30C6B" w:rsidP="00F30C6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Πρόληψη και Αντιμετώπιση της Φτώχειας</w:t>
            </w:r>
          </w:p>
        </w:tc>
        <w:sdt>
          <w:sdtPr>
            <w:rPr>
              <w:sz w:val="28"/>
              <w:szCs w:val="28"/>
              <w:lang w:val="el-GR"/>
            </w:rPr>
            <w:id w:val="-5392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7A5F0F56" w14:textId="0B7F604F" w:rsidR="00F30C6B" w:rsidRPr="00A20470" w:rsidRDefault="0071180A" w:rsidP="00F30C6B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2BDC5339" w14:textId="3DDA3EA9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Κοινωνική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και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Αλληλέγγυ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α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Οικονομί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α</w:t>
            </w:r>
          </w:p>
        </w:tc>
        <w:sdt>
          <w:sdtPr>
            <w:rPr>
              <w:sz w:val="28"/>
              <w:szCs w:val="28"/>
              <w:lang w:val="el-GR"/>
            </w:rPr>
            <w:id w:val="-12532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3E718AA6" w14:textId="68042D09" w:rsidR="00F30C6B" w:rsidRPr="00A20470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4E0CD16" w14:textId="77777777" w:rsidR="00F30C6B" w:rsidRPr="00A20470" w:rsidRDefault="00F30C6B" w:rsidP="00F30C6B">
            <w:pPr>
              <w:rPr>
                <w:lang w:val="el-GR"/>
              </w:rPr>
            </w:pPr>
          </w:p>
        </w:tc>
      </w:tr>
      <w:tr w:rsidR="00F30C6B" w:rsidRPr="00A20470" w14:paraId="752BA73D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3C210255" w14:textId="77777777" w:rsidR="00F30C6B" w:rsidRPr="00A20470" w:rsidRDefault="00F30C6B" w:rsidP="00F30C6B">
            <w:pPr>
              <w:rPr>
                <w:lang w:val="el-GR"/>
              </w:rPr>
            </w:pPr>
          </w:p>
        </w:tc>
        <w:tc>
          <w:tcPr>
            <w:tcW w:w="3100" w:type="dxa"/>
            <w:vAlign w:val="center"/>
          </w:tcPr>
          <w:p w14:paraId="59633F2F" w14:textId="34E97FEE" w:rsidR="00F30C6B" w:rsidRPr="002B714F" w:rsidRDefault="00F30C6B" w:rsidP="00F30C6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Εξατομικευμένη προσέγγιση και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Δι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-επιστημονικές </w:t>
            </w:r>
            <w:proofErr w:type="spellStart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Συνέργιες</w:t>
            </w:r>
            <w:proofErr w:type="spellEnd"/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 xml:space="preserve"> στην Κοινωνική Ένταξη</w:t>
            </w:r>
          </w:p>
        </w:tc>
        <w:sdt>
          <w:sdtPr>
            <w:rPr>
              <w:sz w:val="28"/>
              <w:szCs w:val="28"/>
              <w:lang w:val="el-GR"/>
            </w:rPr>
            <w:id w:val="-212329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4F7BD2C7" w14:textId="559142B5" w:rsidR="00F30C6B" w:rsidRPr="00A20470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5C51FAED" w14:textId="10D6D965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Μέθοδοι και Πιλοτικές Δράσεις Κοινωνικής Καινοτομίας στο Αστικό Περιβάλλον</w:t>
            </w:r>
          </w:p>
        </w:tc>
        <w:sdt>
          <w:sdtPr>
            <w:rPr>
              <w:sz w:val="28"/>
              <w:szCs w:val="28"/>
              <w:lang w:val="el-GR"/>
            </w:rPr>
            <w:id w:val="10916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50143FBF" w14:textId="1BAC1B6A" w:rsidR="00F30C6B" w:rsidRPr="00A20470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3DE6093" w14:textId="77777777" w:rsidR="00F30C6B" w:rsidRPr="00A20470" w:rsidRDefault="00F30C6B" w:rsidP="00F30C6B">
            <w:pPr>
              <w:rPr>
                <w:lang w:val="el-GR"/>
              </w:rPr>
            </w:pPr>
          </w:p>
        </w:tc>
      </w:tr>
      <w:tr w:rsidR="00F30C6B" w:rsidRPr="00A20470" w14:paraId="61CC798B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0E500829" w14:textId="77777777" w:rsidR="00F30C6B" w:rsidRPr="00A20470" w:rsidRDefault="00F30C6B" w:rsidP="00F30C6B">
            <w:pPr>
              <w:rPr>
                <w:lang w:val="el-GR"/>
              </w:rPr>
            </w:pPr>
          </w:p>
        </w:tc>
        <w:tc>
          <w:tcPr>
            <w:tcW w:w="3100" w:type="dxa"/>
            <w:vAlign w:val="center"/>
          </w:tcPr>
          <w:p w14:paraId="2F55C099" w14:textId="625F1931" w:rsidR="00F30C6B" w:rsidRPr="002B714F" w:rsidRDefault="00F30C6B" w:rsidP="00F30C6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Δημόσια Υγεία και Ψυχική Ανθεκτικότητα</w:t>
            </w:r>
          </w:p>
        </w:tc>
        <w:sdt>
          <w:sdtPr>
            <w:rPr>
              <w:sz w:val="28"/>
              <w:szCs w:val="28"/>
              <w:lang w:val="el-GR"/>
            </w:rPr>
            <w:id w:val="140225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07CA6DCD" w14:textId="746254A2" w:rsidR="00F30C6B" w:rsidRPr="00A20470" w:rsidRDefault="0071180A" w:rsidP="00F30C6B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7BE2F822" w14:textId="60006015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sz w:val="20"/>
                <w:szCs w:val="20"/>
                <w:lang w:val="el-GR"/>
              </w:rPr>
              <w:t>Η Κοινωνική Καινοτομία σε άλλες Δραστηριότητες – Ιδέες για την ενσωμάτωση της Καινοτομίας στη Διάσταση της Κοινωνικής Ένταξης:</w:t>
            </w:r>
          </w:p>
        </w:tc>
        <w:sdt>
          <w:sdtPr>
            <w:rPr>
              <w:sz w:val="28"/>
              <w:szCs w:val="28"/>
              <w:lang w:val="el-GR"/>
            </w:rPr>
            <w:id w:val="176634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4D562610" w14:textId="259D5CDB" w:rsidR="00F30C6B" w:rsidRPr="00A20470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CFF1B6F" w14:textId="77777777" w:rsidR="00F30C6B" w:rsidRPr="00A20470" w:rsidRDefault="00F30C6B" w:rsidP="00F30C6B">
            <w:pPr>
              <w:rPr>
                <w:lang w:val="el-GR"/>
              </w:rPr>
            </w:pPr>
          </w:p>
        </w:tc>
      </w:tr>
      <w:tr w:rsidR="00F30C6B" w:rsidRPr="00A20470" w14:paraId="0E7B3FD8" w14:textId="77777777" w:rsidTr="002B714F">
        <w:trPr>
          <w:gridAfter w:val="1"/>
          <w:wAfter w:w="6" w:type="dxa"/>
          <w:jc w:val="center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3F82EC81" w14:textId="77777777" w:rsidR="00F30C6B" w:rsidRPr="00A20470" w:rsidRDefault="00F30C6B" w:rsidP="00F30C6B">
            <w:pPr>
              <w:rPr>
                <w:lang w:val="el-GR"/>
              </w:rPr>
            </w:pPr>
            <w:bookmarkStart w:id="0" w:name="_Hlk95578857"/>
          </w:p>
        </w:tc>
        <w:tc>
          <w:tcPr>
            <w:tcW w:w="3100" w:type="dxa"/>
            <w:vAlign w:val="center"/>
          </w:tcPr>
          <w:p w14:paraId="1CB7D5BA" w14:textId="075EB904" w:rsidR="00F30C6B" w:rsidRPr="002B714F" w:rsidRDefault="00F30C6B" w:rsidP="00F30C6B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  <w:lang w:val="el-GR"/>
              </w:rPr>
            </w:pPr>
            <w:r w:rsidRPr="002B714F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  <w:lang w:val="el-GR"/>
              </w:rPr>
              <w:t>Κοινωνικά Δίκτυα και Κοινωνικό Κεφάλαιο</w:t>
            </w:r>
          </w:p>
        </w:tc>
        <w:sdt>
          <w:sdtPr>
            <w:rPr>
              <w:sz w:val="28"/>
              <w:szCs w:val="28"/>
              <w:lang w:val="el-GR"/>
            </w:rPr>
            <w:id w:val="189677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1" w:type="dxa"/>
                <w:vAlign w:val="center"/>
              </w:tcPr>
              <w:p w14:paraId="538EF146" w14:textId="2DD95095" w:rsidR="00F30C6B" w:rsidRPr="00A20470" w:rsidRDefault="00F51048" w:rsidP="00F30C6B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172" w:type="dxa"/>
            <w:vAlign w:val="center"/>
          </w:tcPr>
          <w:p w14:paraId="2DCAE6D1" w14:textId="4AB27C95" w:rsidR="00F30C6B" w:rsidRPr="002B714F" w:rsidRDefault="00F30C6B" w:rsidP="00F30C6B">
            <w:pPr>
              <w:jc w:val="center"/>
              <w:rPr>
                <w:sz w:val="20"/>
                <w:szCs w:val="20"/>
                <w:lang w:val="el-GR"/>
              </w:rPr>
            </w:pPr>
            <w:r w:rsidRPr="002B714F">
              <w:rPr>
                <w:sz w:val="20"/>
                <w:szCs w:val="20"/>
                <w:lang w:val="el-GR"/>
              </w:rPr>
              <w:t>Άλλο:</w:t>
            </w:r>
          </w:p>
        </w:tc>
        <w:sdt>
          <w:sdtPr>
            <w:rPr>
              <w:sz w:val="28"/>
              <w:szCs w:val="28"/>
              <w:lang w:val="el-GR"/>
            </w:rPr>
            <w:id w:val="110724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4" w:type="dxa"/>
                <w:vAlign w:val="center"/>
              </w:tcPr>
              <w:p w14:paraId="5C05B857" w14:textId="10DB2772" w:rsidR="00F30C6B" w:rsidRPr="00A20470" w:rsidRDefault="00F30C6B" w:rsidP="00F30C6B">
                <w:pPr>
                  <w:jc w:val="center"/>
                  <w:rPr>
                    <w:lang w:val="el-GR"/>
                  </w:rPr>
                </w:pPr>
                <w:r w:rsidRPr="008E41E3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27DC855" w14:textId="77777777" w:rsidR="00F30C6B" w:rsidRPr="00A20470" w:rsidRDefault="00F30C6B" w:rsidP="00F30C6B">
            <w:pPr>
              <w:rPr>
                <w:lang w:val="el-GR"/>
              </w:rPr>
            </w:pPr>
          </w:p>
        </w:tc>
      </w:tr>
      <w:bookmarkEnd w:id="0"/>
      <w:tr w:rsidR="00F30C6B" w:rsidRPr="006248E6" w14:paraId="44B5B4A6" w14:textId="77777777" w:rsidTr="00023059">
        <w:trPr>
          <w:trHeight w:val="437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3329662" w14:textId="1FD3805F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Τίτλος:</w:t>
            </w:r>
          </w:p>
        </w:tc>
        <w:tc>
          <w:tcPr>
            <w:tcW w:w="10097" w:type="dxa"/>
            <w:gridSpan w:val="6"/>
            <w:vAlign w:val="center"/>
          </w:tcPr>
          <w:p w14:paraId="76C0276F" w14:textId="44582833" w:rsidR="006F197F" w:rsidRPr="000B3F8D" w:rsidRDefault="000224E6" w:rsidP="000B3F8D">
            <w:pPr>
              <w:rPr>
                <w:lang w:val="el-GR"/>
              </w:rPr>
            </w:pPr>
            <w:r w:rsidRPr="000224E6">
              <w:rPr>
                <w:lang w:val="el-GR"/>
              </w:rPr>
              <w:t xml:space="preserve">Η δικτύωση των κοινωνικών υπηρεσιών και ο ρόλος της </w:t>
            </w:r>
            <w:proofErr w:type="spellStart"/>
            <w:r w:rsidRPr="000224E6">
              <w:rPr>
                <w:lang w:val="el-GR"/>
              </w:rPr>
              <w:t>Tοπικής</w:t>
            </w:r>
            <w:proofErr w:type="spellEnd"/>
            <w:r w:rsidRPr="000224E6">
              <w:rPr>
                <w:lang w:val="el-GR"/>
              </w:rPr>
              <w:t xml:space="preserve"> </w:t>
            </w:r>
            <w:proofErr w:type="spellStart"/>
            <w:r w:rsidRPr="000224E6">
              <w:rPr>
                <w:lang w:val="el-GR"/>
              </w:rPr>
              <w:t>Aυτοδιοίκησης</w:t>
            </w:r>
            <w:proofErr w:type="spellEnd"/>
          </w:p>
        </w:tc>
      </w:tr>
      <w:tr w:rsidR="00F30C6B" w:rsidRPr="000224E6" w14:paraId="4FCFEF7B" w14:textId="77777777" w:rsidTr="00023059">
        <w:trPr>
          <w:trHeight w:val="437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03494659" w14:textId="466FB263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Συγγραφείς:</w:t>
            </w:r>
          </w:p>
        </w:tc>
        <w:tc>
          <w:tcPr>
            <w:tcW w:w="10097" w:type="dxa"/>
            <w:gridSpan w:val="6"/>
            <w:vAlign w:val="center"/>
          </w:tcPr>
          <w:p w14:paraId="12793AC2" w14:textId="39979618" w:rsidR="00F30C6B" w:rsidRPr="0063408A" w:rsidRDefault="000224E6" w:rsidP="00C423A4">
            <w:pPr>
              <w:rPr>
                <w:lang w:val="el-GR"/>
              </w:rPr>
            </w:pPr>
            <w:r w:rsidRPr="000224E6">
              <w:rPr>
                <w:lang w:val="el-GR"/>
              </w:rPr>
              <w:t xml:space="preserve">Ξενοφών Ι. </w:t>
            </w:r>
            <w:proofErr w:type="spellStart"/>
            <w:r w:rsidRPr="000224E6">
              <w:rPr>
                <w:lang w:val="el-GR"/>
              </w:rPr>
              <w:t>Κοντιάδης</w:t>
            </w:r>
            <w:proofErr w:type="spellEnd"/>
          </w:p>
        </w:tc>
      </w:tr>
      <w:tr w:rsidR="00F30C6B" w14:paraId="103156C7" w14:textId="77777777" w:rsidTr="00023059">
        <w:trPr>
          <w:trHeight w:val="556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43F2AD75" w14:textId="38ACCAC3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 w:rsidRPr="004665D8">
              <w:rPr>
                <w:rFonts w:ascii="Calibri" w:hAnsi="Calibri" w:cs="Calibri"/>
                <w:b/>
                <w:bCs/>
                <w:lang w:val="el-GR"/>
              </w:rPr>
              <w:t>Γλώσσα Πρωτοτύπου</w:t>
            </w:r>
            <w:r>
              <w:rPr>
                <w:rFonts w:ascii="Calibri" w:hAnsi="Calibri" w:cs="Calibri"/>
                <w:b/>
                <w:bCs/>
                <w:lang w:val="el-GR"/>
              </w:rPr>
              <w:t>:</w:t>
            </w:r>
          </w:p>
        </w:tc>
        <w:tc>
          <w:tcPr>
            <w:tcW w:w="10097" w:type="dxa"/>
            <w:gridSpan w:val="6"/>
            <w:vAlign w:val="center"/>
          </w:tcPr>
          <w:p w14:paraId="4FF54A54" w14:textId="0AF355F0" w:rsidR="00F30C6B" w:rsidRPr="00F51048" w:rsidRDefault="00E85965" w:rsidP="00023059">
            <w:pPr>
              <w:rPr>
                <w:lang w:val="el-GR"/>
              </w:rPr>
            </w:pPr>
            <w:r>
              <w:rPr>
                <w:lang w:val="el-GR"/>
              </w:rPr>
              <w:t>Ελληνικά</w:t>
            </w:r>
          </w:p>
        </w:tc>
      </w:tr>
      <w:tr w:rsidR="00F30C6B" w:rsidRPr="006F197F" w14:paraId="2BBFC89F" w14:textId="77777777" w:rsidTr="00023059">
        <w:trPr>
          <w:trHeight w:val="556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7232312" w14:textId="77C270D7" w:rsidR="00F30C6B" w:rsidRPr="006952BE" w:rsidRDefault="00F30C6B" w:rsidP="00F30C6B">
            <w:pPr>
              <w:jc w:val="right"/>
              <w:rPr>
                <w:b/>
                <w:bCs/>
              </w:rPr>
            </w:pPr>
            <w:r w:rsidRPr="006952BE">
              <w:rPr>
                <w:b/>
                <w:bCs/>
                <w:lang w:val="el-GR"/>
              </w:rPr>
              <w:t>Εξωτερικός Σύνδεσμος (</w:t>
            </w:r>
            <w:r w:rsidRPr="006952BE">
              <w:rPr>
                <w:b/>
                <w:bCs/>
              </w:rPr>
              <w:t>URL</w:t>
            </w:r>
            <w:r w:rsidRPr="006952BE">
              <w:rPr>
                <w:b/>
                <w:bCs/>
                <w:lang w:val="el-GR"/>
              </w:rPr>
              <w:t>)</w:t>
            </w:r>
            <w:r w:rsidRPr="006952BE">
              <w:rPr>
                <w:b/>
                <w:bCs/>
              </w:rPr>
              <w:t>:</w:t>
            </w:r>
          </w:p>
        </w:tc>
        <w:tc>
          <w:tcPr>
            <w:tcW w:w="10097" w:type="dxa"/>
            <w:gridSpan w:val="6"/>
            <w:vAlign w:val="center"/>
          </w:tcPr>
          <w:p w14:paraId="2C0DE2BA" w14:textId="52CFFBC5" w:rsidR="00F30C6B" w:rsidRPr="000B3F8D" w:rsidRDefault="006248E6" w:rsidP="00F51048">
            <w:hyperlink r:id="rId4" w:history="1">
              <w:r w:rsidR="000224E6" w:rsidRPr="00967A4A">
                <w:rPr>
                  <w:rStyle w:val="-"/>
                </w:rPr>
                <w:t>https://www.researchgate.net/publication/301315360_E_diktyose_ton_koinonikon_yperesion_kai_o_rolos_tes_Topikes_Autodioikeses</w:t>
              </w:r>
            </w:hyperlink>
            <w:r w:rsidR="000224E6">
              <w:t xml:space="preserve"> </w:t>
            </w:r>
          </w:p>
        </w:tc>
      </w:tr>
      <w:tr w:rsidR="00F30C6B" w:rsidRPr="006248E6" w14:paraId="76397E75" w14:textId="77777777" w:rsidTr="00023059">
        <w:trPr>
          <w:trHeight w:val="550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7804770" w14:textId="21785407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Περίληψη στα Ελληνικά:</w:t>
            </w:r>
          </w:p>
        </w:tc>
        <w:tc>
          <w:tcPr>
            <w:tcW w:w="10097" w:type="dxa"/>
            <w:gridSpan w:val="6"/>
            <w:vAlign w:val="center"/>
          </w:tcPr>
          <w:p w14:paraId="16813777" w14:textId="10183865" w:rsidR="00F30C6B" w:rsidRPr="00CB0742" w:rsidRDefault="000224E6" w:rsidP="006248E6">
            <w:pPr>
              <w:jc w:val="both"/>
              <w:rPr>
                <w:lang w:val="el-GR"/>
              </w:rPr>
            </w:pPr>
            <w:r w:rsidRPr="000224E6">
              <w:rPr>
                <w:lang w:val="el-GR"/>
              </w:rPr>
              <w:t>Στη μελέτη επιχειρείται να αναδειχθεί πώς οι κοινωνικές και οικονομικές ανακατατάξεις και η ενεργοποίηση  νέων  μορφών  κοινωνικής  αλληλεγγύης σηματοδοτούν  έναν  νέο  κοινωνικό  ρόλο  για  την Τοπική  Αυτοδιοίκηση.  Η  υπόθεση  εργασίας  είναι ότι η καταπολέμηση του κοινωνικού αποκλεισμού μπορεί  να  επιτευχθεί  αποτελεσματικότερα  μέσα από  τη  δράση  των  κοινωνικών  υπηρεσιών  της Τοπικής  Αυτοδιοίκησης.  Πρωταρχική  μεταρρυθμιστική προτεραιότητα στον τομέα της κοινωνικής πολιτικής δεν αποτελεί ο σχεδιασμός καθ’ εαυτόν και η χρηματοδότηση νέων προγραμμάτων και δομών κοινωνικής προστασίας και προώθησης στην απασχόληση, αλλά ο συντονισμός και η δικτύωση των υφιστάμενων, κατακερματισμένων υπηρεσιών και δράσεων, προκειμένου να αντιμετωπιστούν οι αλληλοεπικαλύψεις και οι ενίοτε ανταγωνιστικές παρεμβάσεις, που εποπτεύονται ή υλοποιούνται από διαφορετικές  οργανωτικές  μονάδες  της  κεντρικής κοινωνικής διοίκησης.</w:t>
            </w:r>
          </w:p>
        </w:tc>
      </w:tr>
      <w:tr w:rsidR="00F30C6B" w14:paraId="1D838DA4" w14:textId="77777777" w:rsidTr="00023059">
        <w:trPr>
          <w:trHeight w:val="558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16B5517B" w14:textId="55D2E935" w:rsidR="00F30C6B" w:rsidRPr="006952BE" w:rsidRDefault="00F30C6B" w:rsidP="00F30C6B">
            <w:pPr>
              <w:jc w:val="right"/>
              <w:rPr>
                <w:b/>
                <w:bCs/>
              </w:rPr>
            </w:pPr>
            <w:r w:rsidRPr="006952BE">
              <w:rPr>
                <w:b/>
                <w:bCs/>
                <w:lang w:val="el-GR"/>
              </w:rPr>
              <w:lastRenderedPageBreak/>
              <w:t>Περίληψη στα Αγγλικά:</w:t>
            </w:r>
          </w:p>
        </w:tc>
        <w:tc>
          <w:tcPr>
            <w:tcW w:w="10097" w:type="dxa"/>
            <w:gridSpan w:val="6"/>
            <w:vAlign w:val="center"/>
          </w:tcPr>
          <w:p w14:paraId="73D06A1B" w14:textId="0BEC9F7F" w:rsidR="00F30C6B" w:rsidRPr="007A55CD" w:rsidRDefault="000224E6" w:rsidP="006248E6">
            <w:pPr>
              <w:jc w:val="both"/>
            </w:pPr>
            <w:r w:rsidRPr="000224E6">
              <w:t xml:space="preserve">The article aims to highlight the fact that social and economic restructuring and new forms of social solidarity imply a new social role for local government. The working hypothesis is that the fight against social exclusion can be effectively </w:t>
            </w:r>
            <w:r w:rsidR="006248E6" w:rsidRPr="000224E6">
              <w:t>achieved through the activities of social ser</w:t>
            </w:r>
            <w:r w:rsidRPr="000224E6">
              <w:t xml:space="preserve">vices at the level of local government. The primary reform priority in the field of social policy should not be limited to the planning and financing of new </w:t>
            </w:r>
            <w:r w:rsidR="006248E6" w:rsidRPr="000224E6">
              <w:t>programs</w:t>
            </w:r>
            <w:r w:rsidRPr="000224E6">
              <w:t xml:space="preserve"> and structures for social protection and employment promotion, but instead should aim at the coordination and </w:t>
            </w:r>
            <w:r w:rsidR="006248E6" w:rsidRPr="000224E6">
              <w:t>networking of existing, fragmented services</w:t>
            </w:r>
            <w:r w:rsidRPr="000224E6">
              <w:t xml:space="preserve"> and activities, in order to address overlapping and occasionally competing interventions, supervised or implemented by different units of central social administration</w:t>
            </w:r>
            <w:r>
              <w:t>.</w:t>
            </w:r>
          </w:p>
        </w:tc>
      </w:tr>
      <w:tr w:rsidR="00F30C6B" w:rsidRPr="006248E6" w14:paraId="5D35308C" w14:textId="77777777" w:rsidTr="00023059">
        <w:trPr>
          <w:trHeight w:val="566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5ADD7B8F" w14:textId="0556E5CD" w:rsidR="00F30C6B" w:rsidRPr="006952BE" w:rsidRDefault="00F30C6B" w:rsidP="00F30C6B">
            <w:pPr>
              <w:jc w:val="right"/>
              <w:rPr>
                <w:b/>
                <w:bCs/>
                <w:lang w:val="el-GR"/>
              </w:rPr>
            </w:pPr>
            <w:r w:rsidRPr="006952BE">
              <w:rPr>
                <w:b/>
                <w:bCs/>
                <w:lang w:val="el-GR"/>
              </w:rPr>
              <w:t>Λέξεις κλειδιά στα Ελληνικά:</w:t>
            </w:r>
          </w:p>
        </w:tc>
        <w:tc>
          <w:tcPr>
            <w:tcW w:w="10097" w:type="dxa"/>
            <w:gridSpan w:val="6"/>
            <w:vAlign w:val="center"/>
          </w:tcPr>
          <w:p w14:paraId="34488579" w14:textId="3FB166FF" w:rsidR="00F30C6B" w:rsidRPr="000224E6" w:rsidRDefault="000224E6" w:rsidP="00C423A4">
            <w:pPr>
              <w:rPr>
                <w:lang w:val="el-GR"/>
              </w:rPr>
            </w:pPr>
            <w:r w:rsidRPr="000224E6">
              <w:rPr>
                <w:lang w:val="el-GR"/>
              </w:rPr>
              <w:t xml:space="preserve">Κοινωνικός  αποκλεισμός, Πρωτοβάθμια Αυτοδιοίκηση, </w:t>
            </w:r>
            <w:r>
              <w:rPr>
                <w:lang w:val="el-GR"/>
              </w:rPr>
              <w:t>Κ</w:t>
            </w:r>
            <w:r w:rsidRPr="000224E6">
              <w:rPr>
                <w:lang w:val="el-GR"/>
              </w:rPr>
              <w:t xml:space="preserve">οινωνικές υπηρεσίες, </w:t>
            </w:r>
            <w:r>
              <w:rPr>
                <w:lang w:val="el-GR"/>
              </w:rPr>
              <w:t>Δ</w:t>
            </w:r>
            <w:r w:rsidRPr="000224E6">
              <w:rPr>
                <w:lang w:val="el-GR"/>
              </w:rPr>
              <w:t>ιοικητική μεταρρύθμιση</w:t>
            </w:r>
          </w:p>
        </w:tc>
      </w:tr>
      <w:tr w:rsidR="00F30C6B" w14:paraId="0EC619A4" w14:textId="77777777" w:rsidTr="00023059">
        <w:trPr>
          <w:trHeight w:val="560"/>
          <w:jc w:val="center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79ECC621" w14:textId="182EC095" w:rsidR="00F30C6B" w:rsidRPr="006952BE" w:rsidRDefault="00F30C6B" w:rsidP="00F30C6B">
            <w:pPr>
              <w:jc w:val="right"/>
              <w:rPr>
                <w:b/>
                <w:bCs/>
              </w:rPr>
            </w:pPr>
            <w:r w:rsidRPr="006952BE">
              <w:rPr>
                <w:b/>
                <w:bCs/>
                <w:lang w:val="el-GR"/>
              </w:rPr>
              <w:t>Λέξεις κλειδιά στα Αγγλικά:</w:t>
            </w:r>
          </w:p>
        </w:tc>
        <w:tc>
          <w:tcPr>
            <w:tcW w:w="10097" w:type="dxa"/>
            <w:gridSpan w:val="6"/>
            <w:vAlign w:val="center"/>
          </w:tcPr>
          <w:p w14:paraId="0B852AC2" w14:textId="635975AB" w:rsidR="00F30C6B" w:rsidRPr="007A55CD" w:rsidRDefault="006248E6" w:rsidP="00CB0742">
            <w:r w:rsidRPr="000224E6">
              <w:t>Social exclusion</w:t>
            </w:r>
            <w:r w:rsidR="000224E6" w:rsidRPr="000224E6">
              <w:t xml:space="preserve">, </w:t>
            </w:r>
            <w:r>
              <w:t>L</w:t>
            </w:r>
            <w:r w:rsidRPr="000224E6">
              <w:t>ocal government</w:t>
            </w:r>
            <w:r w:rsidR="000224E6" w:rsidRPr="000224E6">
              <w:t xml:space="preserve">, </w:t>
            </w:r>
            <w:r w:rsidR="000224E6">
              <w:t>S</w:t>
            </w:r>
            <w:r w:rsidR="000224E6" w:rsidRPr="000224E6">
              <w:t xml:space="preserve">ocial services, </w:t>
            </w:r>
            <w:r w:rsidR="000224E6">
              <w:t>A</w:t>
            </w:r>
            <w:r w:rsidR="000224E6" w:rsidRPr="000224E6">
              <w:t>dministration reform</w:t>
            </w:r>
          </w:p>
        </w:tc>
      </w:tr>
    </w:tbl>
    <w:p w14:paraId="31821A6D" w14:textId="77777777" w:rsidR="008F08CD" w:rsidRDefault="008F08CD"/>
    <w:sectPr w:rsidR="008F08CD" w:rsidSect="00A83040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BA"/>
    <w:rsid w:val="00015A3C"/>
    <w:rsid w:val="000224E6"/>
    <w:rsid w:val="00023059"/>
    <w:rsid w:val="00063D2E"/>
    <w:rsid w:val="000B3F8D"/>
    <w:rsid w:val="00153605"/>
    <w:rsid w:val="00221FC7"/>
    <w:rsid w:val="002702DF"/>
    <w:rsid w:val="002A3E8C"/>
    <w:rsid w:val="002B714F"/>
    <w:rsid w:val="004A3598"/>
    <w:rsid w:val="004C0D02"/>
    <w:rsid w:val="004D1C2E"/>
    <w:rsid w:val="004D36BA"/>
    <w:rsid w:val="005C7929"/>
    <w:rsid w:val="006248E6"/>
    <w:rsid w:val="0063408A"/>
    <w:rsid w:val="006952BE"/>
    <w:rsid w:val="006F197F"/>
    <w:rsid w:val="0071180A"/>
    <w:rsid w:val="007A55CD"/>
    <w:rsid w:val="00870141"/>
    <w:rsid w:val="008877CD"/>
    <w:rsid w:val="008E41E3"/>
    <w:rsid w:val="008F08CD"/>
    <w:rsid w:val="00905B12"/>
    <w:rsid w:val="00A11C66"/>
    <w:rsid w:val="00A20470"/>
    <w:rsid w:val="00A83040"/>
    <w:rsid w:val="00AC6E29"/>
    <w:rsid w:val="00B05E1D"/>
    <w:rsid w:val="00B575B5"/>
    <w:rsid w:val="00B61699"/>
    <w:rsid w:val="00C423A4"/>
    <w:rsid w:val="00C51917"/>
    <w:rsid w:val="00CB0742"/>
    <w:rsid w:val="00E75D3D"/>
    <w:rsid w:val="00E85965"/>
    <w:rsid w:val="00F30C6B"/>
    <w:rsid w:val="00F51048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3DA4"/>
  <w15:chartTrackingRefBased/>
  <w15:docId w15:val="{1E9AD884-B586-40DD-8199-D005E50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510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048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B3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01315360_E_diktyose_ton_koinonikon_yperesion_kai_o_rolos_tes_Topikes_Autodioike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Diastasi</cp:lastModifiedBy>
  <cp:revision>3</cp:revision>
  <cp:lastPrinted>2022-02-09T08:50:00Z</cp:lastPrinted>
  <dcterms:created xsi:type="dcterms:W3CDTF">2022-02-16T11:55:00Z</dcterms:created>
  <dcterms:modified xsi:type="dcterms:W3CDTF">2022-02-21T08:50:00Z</dcterms:modified>
</cp:coreProperties>
</file>